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A5" w:rsidRDefault="00787BA5">
      <w:pPr>
        <w:rPr>
          <w:rFonts w:ascii="Arial" w:eastAsia="Arial" w:hAnsi="Arial" w:cs="Arial"/>
          <w:color w:val="000000"/>
        </w:rPr>
      </w:pPr>
    </w:p>
    <w:p w:rsidR="00787BA5" w:rsidRDefault="00F44712">
      <w:pPr>
        <w:rPr>
          <w:b/>
        </w:rPr>
      </w:pPr>
      <w:hyperlink r:id="rId8">
        <w:r>
          <w:rPr>
            <w:b/>
            <w:color w:val="1155CC"/>
            <w:u w:val="single"/>
          </w:rPr>
          <w:t>Future-Proof PE Working Group</w:t>
        </w:r>
      </w:hyperlink>
      <w:r>
        <w:rPr>
          <w:b/>
        </w:rPr>
        <w:t xml:space="preserve"> </w:t>
      </w:r>
    </w:p>
    <w:p w:rsidR="00787BA5" w:rsidRDefault="00F44712">
      <w:pPr>
        <w:jc w:val="both"/>
      </w:pPr>
      <w:r>
        <w:rPr>
          <w:b/>
        </w:rPr>
        <w:t>Participants</w:t>
      </w:r>
      <w:r>
        <w:t xml:space="preserve"> from the Belgium, Brazil, Canada, Czech Republic, Denmark, France, Germany, Chile, Lithuania, Netherlands, South Korea, Spain Catalonia, Switzerland, USA</w:t>
      </w:r>
    </w:p>
    <w:p w:rsidR="00787BA5" w:rsidRDefault="00F44712">
      <w:pPr>
        <w:jc w:val="both"/>
      </w:pPr>
      <w:r>
        <w:rPr>
          <w:b/>
        </w:rPr>
        <w:t>WG leads:</w:t>
      </w:r>
      <w:r>
        <w:t xml:space="preserve"> Nick Chapman, Ellen Versantvoort, Laurent Comte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This</w:t>
      </w:r>
      <w:r>
        <w:rPr>
          <w:b/>
        </w:rPr>
        <w:t xml:space="preserve"> </w:t>
      </w:r>
      <w:hyperlink r:id="rId9">
        <w:proofErr w:type="spellStart"/>
        <w:r>
          <w:rPr>
            <w:b/>
            <w:color w:val="1155CC"/>
            <w:u w:val="single"/>
          </w:rPr>
          <w:t>Jamboard</w:t>
        </w:r>
        <w:proofErr w:type="spellEnd"/>
        <w:r>
          <w:rPr>
            <w:b/>
            <w:color w:val="1155CC"/>
            <w:u w:val="single"/>
          </w:rPr>
          <w:t xml:space="preserve"> for Future Proof PE Model</w:t>
        </w:r>
      </w:hyperlink>
      <w:r>
        <w:t xml:space="preserve"> was used as a tool to share and brainstorm on ideas - these have been summarized below. </w:t>
      </w:r>
    </w:p>
    <w:p w:rsidR="00787BA5" w:rsidRDefault="00F44712">
      <w:pPr>
        <w:jc w:val="both"/>
        <w:rPr>
          <w:b/>
        </w:rPr>
      </w:pPr>
      <w:r>
        <w:rPr>
          <w:b/>
        </w:rPr>
        <w:t xml:space="preserve">1. Inputs - Focusing on skills and competencies for trainees are </w:t>
      </w:r>
      <w:r>
        <w:rPr>
          <w:b/>
        </w:rPr>
        <w:t>needed for their future to be successful</w:t>
      </w:r>
    </w:p>
    <w:p w:rsidR="00787BA5" w:rsidRDefault="00F44712">
      <w:pPr>
        <w:numPr>
          <w:ilvl w:val="0"/>
          <w:numId w:val="2"/>
        </w:numPr>
        <w:jc w:val="both"/>
      </w:pPr>
      <w:r>
        <w:rPr>
          <w:b/>
        </w:rPr>
        <w:t>Inputs:</w:t>
      </w:r>
      <w:r>
        <w:t xml:space="preserve"> Remote working, digital skills, ability to change, adaptability to new tools, tasks, flexibility, specific digital skills (big data in marketing), project-based work, creativity, focus on processes, taking r</w:t>
      </w:r>
      <w:r>
        <w:t>esponsibility (working from home without a teacher), being able to use a collaboration tool), resilience, social media skills, organizing online meetings effectively), listening (empathy), creative thinking, tasks that AI doesn’t take over, use online ERP,</w:t>
      </w:r>
      <w:r>
        <w:t xml:space="preserve"> capacity to reflect and analyze, online etiquette, ability to fix troubles. These could be all divided into soft skills and hard technical skills. 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Perhaps the regrouping can also be done based on different target groups as far as the ideas of a future-pr</w:t>
      </w:r>
      <w:r>
        <w:t>oof PE model are concerned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Technical skills and tasks needed to be acquired will continuously change however soft social skills will remain – need to be learned through practical tasks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Main requirement for a job is to adapt and be flexible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 xml:space="preserve">The basic tasks </w:t>
      </w:r>
      <w:r>
        <w:t>need to be taught and learned in order to advance to the higher levels of learning – trainees need to get a basic digital skills package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They are required to have a  lot of transversal skills – also social skills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It will be easier as far as the technical s</w:t>
      </w:r>
      <w:r>
        <w:t>kills are concerned, (in collaboration suites for example) as there will be more AI assistance in the future - it is necessary to get a basic digital package - open to being able to use more tools</w:t>
      </w:r>
    </w:p>
    <w:p w:rsidR="00787BA5" w:rsidRDefault="00F44712">
      <w:pPr>
        <w:jc w:val="both"/>
        <w:rPr>
          <w:b/>
        </w:rPr>
      </w:pPr>
      <w:r>
        <w:rPr>
          <w:b/>
        </w:rPr>
        <w:t>2. Outputs - Challenges of getting trainees to the above me</w:t>
      </w:r>
      <w:r>
        <w:rPr>
          <w:b/>
        </w:rPr>
        <w:t>ntioned point (trainers and trainees)</w:t>
      </w:r>
    </w:p>
    <w:p w:rsidR="00787BA5" w:rsidRDefault="00F44712">
      <w:pPr>
        <w:numPr>
          <w:ilvl w:val="0"/>
          <w:numId w:val="2"/>
        </w:numPr>
        <w:jc w:val="both"/>
      </w:pPr>
      <w:r>
        <w:t>More digital tasks, digital tutorials, more project management, teachers working remotely, preparing the infrastructure, aligning curriculum to needs (from policy perspective), technical problems (do not have the techn</w:t>
      </w:r>
      <w:r>
        <w:t>ical equipment), lack of flexibility, how to control the work done, teachers: lack of knowledge of what the labor market requests, learn new tools by themselves, government policy training initiatives, lack of motivation, are curricula evolving fast enough</w:t>
      </w:r>
      <w:r>
        <w:t>?, continuous learning for trainees and trainers, develop new curricula – transnational?, updating materials, hard to bridge gap between theory and practice, international network tasks, trainers not familiar with the modern way of working)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The gap between</w:t>
      </w:r>
      <w:r>
        <w:t xml:space="preserve"> the government policies and the real business life - building of curricula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Educational policy should be rather a framework that can be adapted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lastRenderedPageBreak/>
        <w:t>What curricula fit these areas (Practice Enterprise) – VET and professional education – difficult to adapt becau</w:t>
      </w:r>
      <w:r>
        <w:t>se of the closed system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There is a need to create it faster than the curricula – prepare for it to be used – shadow the real developments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Education is slow – trainers are not updated and ready with the digital skills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The quality of the PE is only as good a</w:t>
      </w:r>
      <w:r>
        <w:t>s the PE trainers – the students will know more than the trainers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Companies are creating schools to overcome these challenges – Amazon for example, to be able to speed up the processes to acquire the necessary competencies and skills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To take the curriculum</w:t>
      </w:r>
      <w:r>
        <w:t xml:space="preserve"> and make it more individual – be faster than the educational system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Traditional teaching approaches from some trainers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COs can train the trainers as best as possible but it is the trainers who are training the trainees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 xml:space="preserve">As opposed to training the specific </w:t>
      </w:r>
      <w:r>
        <w:t>tools, it is about teaching the trainees of how to work with certain areas and elements professionally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another challenge is that trainers have to have a lot of different skills (in Denmark they also social workers) and have to cope with a lot</w:t>
      </w:r>
    </w:p>
    <w:p w:rsidR="00787BA5" w:rsidRDefault="00F44712">
      <w:pPr>
        <w:jc w:val="both"/>
        <w:rPr>
          <w:b/>
        </w:rPr>
      </w:pPr>
      <w:r>
        <w:rPr>
          <w:b/>
        </w:rPr>
        <w:t>3. Open brainstorming session based on the raised points and the future proof PE -suggestions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PE integrated into the entire program – not 4 hours a week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Develop collaboration skill pedagogy, teach students how to find their own materials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 xml:space="preserve">No organizational </w:t>
      </w:r>
      <w:r>
        <w:t>chart – an autonomous organization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Training remote employees is different than in-person training - being aware of the differences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Design thinking teaching – the ability to adapt to change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 xml:space="preserve">A more important strategy to focus on trainees – Belgium, </w:t>
      </w:r>
      <w:proofErr w:type="spellStart"/>
      <w:r>
        <w:t>webshops</w:t>
      </w:r>
      <w:proofErr w:type="spellEnd"/>
      <w:r>
        <w:t xml:space="preserve"> </w:t>
      </w:r>
      <w:proofErr w:type="spellStart"/>
      <w:r>
        <w:t>etc</w:t>
      </w:r>
      <w:proofErr w:type="spellEnd"/>
      <w:r>
        <w:t>- that they can convince the trainers to use these – incentivize and motivate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Paper versus digital – how do we rethink the whole aspect of the practice enterprise – to blend the digital and physical efficiently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How can we create a future proof concept based on these discussions?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Asynchronous PE – not meeting at the same time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Lobbying ministries of education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Branches in different countries – satellite countries – a global PE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 xml:space="preserve">What can be a problem with a global PE </w:t>
      </w:r>
      <w:r>
        <w:t>in terms of curriculum - Czech Republic has a global PE with branches in other countries - the PE concept can be adapted as there is no obligatory curriculum in CZ - in Spain the constraints are in terms of VET and HEI curricula, not secondary schools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Howe</w:t>
      </w:r>
      <w:r>
        <w:t>ver, how do we assess and evaluate that? (teachers concerns: final marks, simple test etc.)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Identify people who are doing those practices and share them with the rest of the network – what is Amazon doing – involving external companies and experts in the p</w:t>
      </w:r>
      <w:r>
        <w:t>rocess?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lastRenderedPageBreak/>
        <w:t xml:space="preserve">Get the support and implement it in the PEs- take a trend and see how much it has impacted real companies. 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Change the ways of thinking/ mindsets – trainer mindset, school mindset and teach trainees the actual skills and through that to incentivize</w:t>
      </w:r>
      <w:r>
        <w:t xml:space="preserve"> 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In Switzerland they use the real job profiles and train them as in the real business world and also focus on key groups with different focus: marketing, - they involve the PEs in creating the content and share the practices – co-create the trends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 xml:space="preserve">Brazil </w:t>
      </w:r>
      <w:r>
        <w:t>– educational consultants, difficult to bridge the competencies from the classroom and what is expected of them on the real job market (new marketing skills)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There is also a certain level to which we can bring the trainees – each trainees has some limits</w:t>
      </w:r>
    </w:p>
    <w:p w:rsidR="00787BA5" w:rsidRDefault="00F44712">
      <w:pPr>
        <w:numPr>
          <w:ilvl w:val="0"/>
          <w:numId w:val="2"/>
        </w:numPr>
        <w:spacing w:after="0"/>
        <w:jc w:val="both"/>
      </w:pPr>
      <w:r>
        <w:t>T</w:t>
      </w:r>
      <w:r>
        <w:t>he challenge of the divide – expectation of these skills, sometimes there is a gap – trade internationally, but for example shy to speak English</w:t>
      </w:r>
    </w:p>
    <w:p w:rsidR="00787BA5" w:rsidRDefault="00F44712">
      <w:pPr>
        <w:numPr>
          <w:ilvl w:val="0"/>
          <w:numId w:val="2"/>
        </w:numPr>
        <w:jc w:val="both"/>
      </w:pPr>
      <w:r>
        <w:t>Deloitte – career readiness framework – what they need of the employments – to understand where the alignment i</w:t>
      </w:r>
      <w:r>
        <w:t>s – recommendations for the USA how to adjust the framework</w:t>
      </w:r>
    </w:p>
    <w:p w:rsidR="00787BA5" w:rsidRDefault="00F44712">
      <w:pPr>
        <w:rPr>
          <w:b/>
        </w:rPr>
      </w:pPr>
      <w:r>
        <w:rPr>
          <w:b/>
        </w:rPr>
        <w:t>Follow-ups:</w:t>
      </w:r>
    </w:p>
    <w:p w:rsidR="00787BA5" w:rsidRDefault="00F44712">
      <w:pPr>
        <w:numPr>
          <w:ilvl w:val="0"/>
          <w:numId w:val="1"/>
        </w:numPr>
      </w:pPr>
      <w:proofErr w:type="spellStart"/>
      <w:r>
        <w:t>Jamboard</w:t>
      </w:r>
      <w:proofErr w:type="spellEnd"/>
      <w:r>
        <w:t xml:space="preserve"> regrouped based on commonalities - find the general trends and the outcomes</w:t>
      </w:r>
    </w:p>
    <w:p w:rsidR="00787BA5" w:rsidRDefault="00F44712">
      <w:pPr>
        <w:numPr>
          <w:ilvl w:val="0"/>
          <w:numId w:val="1"/>
        </w:numPr>
      </w:pPr>
      <w:r>
        <w:t xml:space="preserve">A follow-up session will be </w:t>
      </w:r>
      <w:proofErr w:type="spellStart"/>
      <w:r>
        <w:t>organised</w:t>
      </w:r>
      <w:proofErr w:type="spellEnd"/>
      <w:r>
        <w:t>, another time proposed on the Slack Channel</w:t>
      </w:r>
    </w:p>
    <w:p w:rsidR="00787BA5" w:rsidRDefault="00F44712">
      <w:pPr>
        <w:numPr>
          <w:ilvl w:val="0"/>
          <w:numId w:val="1"/>
        </w:numPr>
      </w:pPr>
      <w:r>
        <w:t>Also a possibility: ask some prompt questions in the Slack Channel</w:t>
      </w:r>
    </w:p>
    <w:p w:rsidR="00787BA5" w:rsidRDefault="00F44712">
      <w:pPr>
        <w:numPr>
          <w:ilvl w:val="0"/>
          <w:numId w:val="1"/>
        </w:numPr>
      </w:pPr>
      <w:r>
        <w:t>Identify promising practices and share them with others</w:t>
      </w:r>
    </w:p>
    <w:p w:rsidR="00787BA5" w:rsidRDefault="00F44712">
      <w:pPr>
        <w:numPr>
          <w:ilvl w:val="0"/>
          <w:numId w:val="1"/>
        </w:numPr>
      </w:pPr>
      <w:r>
        <w:t xml:space="preserve">Please follow the </w:t>
      </w:r>
      <w:hyperlink r:id="rId10">
        <w:r>
          <w:rPr>
            <w:color w:val="1155CC"/>
            <w:u w:val="single"/>
          </w:rPr>
          <w:t>Future Proof Slack channel</w:t>
        </w:r>
      </w:hyperlink>
      <w:r>
        <w:t xml:space="preserve"> for more informatio</w:t>
      </w:r>
      <w:r>
        <w:t>n</w:t>
      </w:r>
    </w:p>
    <w:sectPr w:rsidR="00787B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12" w:rsidRDefault="00F44712">
      <w:pPr>
        <w:spacing w:after="0" w:line="240" w:lineRule="auto"/>
      </w:pPr>
      <w:r>
        <w:separator/>
      </w:r>
    </w:p>
  </w:endnote>
  <w:endnote w:type="continuationSeparator" w:id="0">
    <w:p w:rsidR="00F44712" w:rsidRDefault="00F4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D5" w:rsidRDefault="003635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D5" w:rsidRDefault="003635D5">
    <w:pPr>
      <w:pStyle w:val="Voettekst"/>
    </w:pPr>
    <w:bookmarkStart w:id="0" w:name="_GoBack"/>
    <w:r>
      <w:rPr>
        <w:noProof/>
        <w:lang w:val="nl-NL"/>
      </w:rPr>
      <w:drawing>
        <wp:inline distT="0" distB="0" distL="0" distR="0">
          <wp:extent cx="5943600" cy="768526"/>
          <wp:effectExtent l="0" t="0" r="0" b="0"/>
          <wp:docPr id="2" name="Afbeelding 2" descr="C:\Users\E.Zoegard\AppData\Local\Microsoft\Windows\INetCache\Content.Word\logo part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Zoegard\AppData\Local\Microsoft\Windows\INetCache\Content.Word\logo partn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8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D5" w:rsidRDefault="003635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12" w:rsidRDefault="00F44712">
      <w:pPr>
        <w:spacing w:after="0" w:line="240" w:lineRule="auto"/>
      </w:pPr>
      <w:r>
        <w:separator/>
      </w:r>
    </w:p>
  </w:footnote>
  <w:footnote w:type="continuationSeparator" w:id="0">
    <w:p w:rsidR="00F44712" w:rsidRDefault="00F4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D5" w:rsidRDefault="003635D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A5" w:rsidRDefault="00F447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nl-N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-643585</wp:posOffset>
          </wp:positionH>
          <wp:positionV relativeFrom="paragraph">
            <wp:posOffset>-62947</wp:posOffset>
          </wp:positionV>
          <wp:extent cx="2273770" cy="42026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3770" cy="420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D5" w:rsidRDefault="003635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C32"/>
    <w:multiLevelType w:val="multilevel"/>
    <w:tmpl w:val="8ABA8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9E75C1"/>
    <w:multiLevelType w:val="multilevel"/>
    <w:tmpl w:val="657E16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A5"/>
    <w:rsid w:val="003635D5"/>
    <w:rsid w:val="00787BA5"/>
    <w:rsid w:val="00F4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DCC82-3D0F-48A0-8CEF-19BD56FE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36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35D5"/>
  </w:style>
  <w:style w:type="paragraph" w:styleId="Voettekst">
    <w:name w:val="footer"/>
    <w:basedOn w:val="Standaard"/>
    <w:link w:val="VoettekstChar"/>
    <w:uiPriority w:val="99"/>
    <w:unhideWhenUsed/>
    <w:rsid w:val="0036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worldwide.slack.com/archives/CT0TC8WK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enworldwide.slack.com/archives/CT0TC8WK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mboard.google.com/d/1agy8Ov8w2V-qtd4cMwMdWHd3i5SJp8bBRg16Tzjed-4/viewer?f=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0C8A-5DB9-419A-8DEF-D5688D96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1109</Words>
  <Characters>6102</Characters>
  <Application>Microsoft Office Word</Application>
  <DocSecurity>0</DocSecurity>
  <Lines>50</Lines>
  <Paragraphs>14</Paragraphs>
  <ScaleCrop>false</ScaleCrop>
  <Company>Accent Automatisering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Esther Zoegard</cp:lastModifiedBy>
  <cp:revision>2</cp:revision>
  <dcterms:created xsi:type="dcterms:W3CDTF">2021-02-17T09:30:00Z</dcterms:created>
  <dcterms:modified xsi:type="dcterms:W3CDTF">2021-02-17T09:37:00Z</dcterms:modified>
</cp:coreProperties>
</file>